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E38" w:rsidRPr="006B5E38" w:rsidRDefault="006B5E38" w:rsidP="006B5E38">
      <w:pPr>
        <w:widowControl/>
        <w:spacing w:line="480" w:lineRule="auto"/>
        <w:jc w:val="center"/>
        <w:outlineLvl w:val="0"/>
        <w:rPr>
          <w:rFonts w:ascii="微软雅黑" w:eastAsia="微软雅黑" w:hAnsi="微软雅黑" w:cs="宋体"/>
          <w:b/>
          <w:bCs/>
          <w:color w:val="333333"/>
          <w:kern w:val="36"/>
          <w:sz w:val="27"/>
          <w:szCs w:val="27"/>
        </w:rPr>
      </w:pPr>
      <w:r w:rsidRPr="006B5E38">
        <w:rPr>
          <w:rFonts w:ascii="微软雅黑" w:eastAsia="微软雅黑" w:hAnsi="微软雅黑" w:cs="宋体" w:hint="eastAsia"/>
          <w:b/>
          <w:bCs/>
          <w:color w:val="333333"/>
          <w:kern w:val="36"/>
          <w:sz w:val="27"/>
          <w:szCs w:val="27"/>
        </w:rPr>
        <w:t>北京市教育委员会 </w:t>
      </w:r>
    </w:p>
    <w:p w:rsidR="006B5E38" w:rsidRPr="006B5E38" w:rsidRDefault="006B5E38" w:rsidP="006B5E38">
      <w:pPr>
        <w:widowControl/>
        <w:spacing w:line="480" w:lineRule="auto"/>
        <w:jc w:val="center"/>
        <w:outlineLvl w:val="0"/>
        <w:rPr>
          <w:rFonts w:ascii="微软雅黑" w:eastAsia="微软雅黑" w:hAnsi="微软雅黑" w:cs="宋体" w:hint="eastAsia"/>
          <w:b/>
          <w:bCs/>
          <w:color w:val="333333"/>
          <w:kern w:val="36"/>
          <w:sz w:val="27"/>
          <w:szCs w:val="27"/>
        </w:rPr>
      </w:pPr>
      <w:r w:rsidRPr="006B5E38">
        <w:rPr>
          <w:rFonts w:ascii="微软雅黑" w:eastAsia="微软雅黑" w:hAnsi="微软雅黑" w:cs="宋体" w:hint="eastAsia"/>
          <w:b/>
          <w:bCs/>
          <w:color w:val="333333"/>
          <w:kern w:val="36"/>
          <w:sz w:val="27"/>
          <w:szCs w:val="27"/>
        </w:rPr>
        <w:t>北京市语言文字工作委员会 </w:t>
      </w:r>
    </w:p>
    <w:p w:rsidR="006B5E38" w:rsidRPr="006B5E38" w:rsidRDefault="006B5E38" w:rsidP="006B5E38">
      <w:pPr>
        <w:widowControl/>
        <w:spacing w:line="480" w:lineRule="auto"/>
        <w:jc w:val="center"/>
        <w:outlineLvl w:val="0"/>
        <w:rPr>
          <w:rFonts w:ascii="微软雅黑" w:eastAsia="微软雅黑" w:hAnsi="微软雅黑" w:cs="宋体" w:hint="eastAsia"/>
          <w:b/>
          <w:bCs/>
          <w:color w:val="333333"/>
          <w:kern w:val="36"/>
          <w:sz w:val="27"/>
          <w:szCs w:val="27"/>
        </w:rPr>
      </w:pPr>
      <w:r w:rsidRPr="006B5E38">
        <w:rPr>
          <w:rFonts w:ascii="微软雅黑" w:eastAsia="微软雅黑" w:hAnsi="微软雅黑" w:cs="宋体" w:hint="eastAsia"/>
          <w:b/>
          <w:bCs/>
          <w:color w:val="333333"/>
          <w:kern w:val="36"/>
          <w:sz w:val="27"/>
          <w:szCs w:val="27"/>
        </w:rPr>
        <w:t>关于开展2019年学校语言文字工作规范化达标建设工作的通知</w:t>
      </w:r>
    </w:p>
    <w:p w:rsidR="006B5E38" w:rsidRPr="006B5E38" w:rsidRDefault="006B5E38" w:rsidP="006B5E38">
      <w:pPr>
        <w:widowControl/>
        <w:jc w:val="center"/>
        <w:rPr>
          <w:rFonts w:ascii="微软雅黑" w:eastAsia="微软雅黑" w:hAnsi="微软雅黑" w:cs="宋体" w:hint="eastAsia"/>
          <w:color w:val="A59F91"/>
          <w:kern w:val="0"/>
          <w:sz w:val="18"/>
          <w:szCs w:val="18"/>
        </w:rPr>
      </w:pPr>
      <w:r w:rsidRPr="006B5E38">
        <w:rPr>
          <w:rFonts w:ascii="微软雅黑" w:eastAsia="微软雅黑" w:hAnsi="微软雅黑" w:cs="宋体" w:hint="eastAsia"/>
          <w:color w:val="A59F91"/>
          <w:kern w:val="0"/>
          <w:sz w:val="18"/>
          <w:szCs w:val="18"/>
        </w:rPr>
        <w:t>时间：2019-03-22</w:t>
      </w:r>
    </w:p>
    <w:p w:rsidR="006B5E38" w:rsidRPr="006B5E38" w:rsidRDefault="006B5E38" w:rsidP="006B5E38">
      <w:pPr>
        <w:widowControl/>
        <w:spacing w:line="480" w:lineRule="auto"/>
        <w:jc w:val="center"/>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w:t>
      </w:r>
      <w:proofErr w:type="gramStart"/>
      <w:r w:rsidRPr="006B5E38">
        <w:rPr>
          <w:rFonts w:ascii="微软雅黑" w:eastAsia="微软雅黑" w:hAnsi="微软雅黑" w:cs="宋体" w:hint="eastAsia"/>
          <w:color w:val="000000"/>
          <w:kern w:val="0"/>
          <w:szCs w:val="21"/>
        </w:rPr>
        <w:t>京教语〔2019〕</w:t>
      </w:r>
      <w:proofErr w:type="gramEnd"/>
      <w:r w:rsidRPr="006B5E38">
        <w:rPr>
          <w:rFonts w:ascii="微软雅黑" w:eastAsia="微软雅黑" w:hAnsi="微软雅黑" w:cs="宋体" w:hint="eastAsia"/>
          <w:color w:val="000000"/>
          <w:kern w:val="0"/>
          <w:szCs w:val="21"/>
        </w:rPr>
        <w:t>4号</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各区教委、语委，各高等学校：</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在2017、2018两年语言文字工作规范化达标学校建设工作基础上，根据教育部、国家语委《关于进一步加强学校语言文字工作的意见》（教语用〔2017〕1号）、教育部语用司《关于印发〈国家语言文字工作督导评估工作手册〉的通知》（教</w:t>
      </w:r>
      <w:proofErr w:type="gramStart"/>
      <w:r w:rsidRPr="006B5E38">
        <w:rPr>
          <w:rFonts w:ascii="微软雅黑" w:eastAsia="微软雅黑" w:hAnsi="微软雅黑" w:cs="宋体" w:hint="eastAsia"/>
          <w:color w:val="000000"/>
          <w:kern w:val="0"/>
          <w:szCs w:val="21"/>
        </w:rPr>
        <w:t>语用司函〔2018〕</w:t>
      </w:r>
      <w:proofErr w:type="gramEnd"/>
      <w:r w:rsidRPr="006B5E38">
        <w:rPr>
          <w:rFonts w:ascii="微软雅黑" w:eastAsia="微软雅黑" w:hAnsi="微软雅黑" w:cs="宋体" w:hint="eastAsia"/>
          <w:color w:val="000000"/>
          <w:kern w:val="0"/>
          <w:szCs w:val="21"/>
        </w:rPr>
        <w:t>8号）、教育部语用司《关于深入实施国家通用语言文字普及攻坚工程的通知》（教</w:t>
      </w:r>
      <w:proofErr w:type="gramStart"/>
      <w:r w:rsidRPr="006B5E38">
        <w:rPr>
          <w:rFonts w:ascii="微软雅黑" w:eastAsia="微软雅黑" w:hAnsi="微软雅黑" w:cs="宋体" w:hint="eastAsia"/>
          <w:color w:val="000000"/>
          <w:kern w:val="0"/>
          <w:szCs w:val="21"/>
        </w:rPr>
        <w:t>语用司函〔2019〕</w:t>
      </w:r>
      <w:proofErr w:type="gramEnd"/>
      <w:r w:rsidRPr="006B5E38">
        <w:rPr>
          <w:rFonts w:ascii="微软雅黑" w:eastAsia="微软雅黑" w:hAnsi="微软雅黑" w:cs="宋体" w:hint="eastAsia"/>
          <w:color w:val="000000"/>
          <w:kern w:val="0"/>
          <w:szCs w:val="21"/>
        </w:rPr>
        <w:t>9号）等文件精神，市教委、市语委决定2019年继续开展此项工作，进一步推进本市学校语言文字工作，现将有关事宜通知如下，请认真贯彻执行。</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一、提高认识</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为深入贯彻实施《中华人民共和国国家通用语言文字法》，全面落实《北京市语言文字事业“十三五”发展规划》，加强学校语言文字工作主阵地作用，各级教育行政部门、语言文字工作部门和各级各类学校要提高认识，认真开展学校语言文字工作规范化达标建设，切实以学校语言文字工作达标为基础，促进国家通用语言文字的普及和提升，促进中华优秀语言文化的传承和发展。</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二、明确职责</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各区教委、语委负责本辖区中小学、幼儿园、中等专业学校、职业高中学校、技工学校、工读学校、特教学校（其中除幼儿园不含民办外，其他均含民办教育）语言文字工作规范化达标建设的指导和验收工作。要结合本地实际制定工作计划，明确达标建设时间表推进工作。</w:t>
      </w:r>
      <w:r w:rsidRPr="006B5E38">
        <w:rPr>
          <w:rFonts w:ascii="微软雅黑" w:eastAsia="微软雅黑" w:hAnsi="微软雅黑" w:cs="宋体" w:hint="eastAsia"/>
          <w:color w:val="000000"/>
          <w:kern w:val="0"/>
          <w:szCs w:val="21"/>
        </w:rPr>
        <w:lastRenderedPageBreak/>
        <w:t>中等专业学校、职业高中学校、技工学校、工读学校、特教学校的语言文字工作规范化达标建设标准可参照《北京市中小学语言文字工作指导标准》（附件2）执行。</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各高校（含民办高等学校）要参照《北京市高等学校语言文字工作指导标准》（附件3）,结合本校实际进行院、系自查，学校综合检查。</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市教委、市语委、市政府教育督导室将在11月份以抽查方式对各级各类学校语言文字建设情况进行检查。</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三、工作目标</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按照教育部、国家语委关于学校语言文字达标建设工作进度安排及国务院教育督导委员会办公室《关于印发〈对省级人民政府履行教育职责的评价办法〉实施细则的通知》（国教督办〔2018〕2号，此文件可在北京市语言</w:t>
      </w:r>
      <w:proofErr w:type="gramStart"/>
      <w:r w:rsidRPr="006B5E38">
        <w:rPr>
          <w:rFonts w:ascii="微软雅黑" w:eastAsia="微软雅黑" w:hAnsi="微软雅黑" w:cs="宋体" w:hint="eastAsia"/>
          <w:color w:val="000000"/>
          <w:kern w:val="0"/>
          <w:szCs w:val="21"/>
        </w:rPr>
        <w:t>文字网</w:t>
      </w:r>
      <w:proofErr w:type="gramEnd"/>
      <w:r w:rsidRPr="006B5E38">
        <w:rPr>
          <w:rFonts w:ascii="微软雅黑" w:eastAsia="微软雅黑" w:hAnsi="微软雅黑" w:cs="宋体" w:hint="eastAsia"/>
          <w:color w:val="000000"/>
          <w:kern w:val="0"/>
          <w:szCs w:val="21"/>
        </w:rPr>
        <w:t>查询）文件精神，结合本市学校语言文字工作现状，提出如下工作目标：</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2019年末，各区辖区内中小学、幼儿园、中等专业学校、职业高中学校、技工学校、工读学校、特教学校（其中除幼儿园不含民办外，其他均含民办教育）、各高校累计全部完成语言文字工作规范化达标建设任务，2020年起新增校，增加一所达标一所。请各区教委、语委、各高校按要求扎实推进语言文字工作规范化达标建设。</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已取得国家级、市级语言文字规范化示范校称号的学校视为达标学校。这些学校要进一步巩固成果，总结经验，更好地发挥示范引领作用。</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四、有关要求</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各区教委、语委、各高校要高度重视，加强组织领导，明确工作职责，落实人员和经费保障，着力加以推进，切实增强做好学校语言文字工作的自觉性、责任感和紧迫感，不断提升学校语言文字工作水平。</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lastRenderedPageBreak/>
        <w:t xml:space="preserve">　　各区教委、语委于10月31日（星期四）前报送本区学校语言文字工作规范化达标建设工作总结、北京市学校语言文字工作规范化达标建设统计表（附件4）。</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各高校认真研究完成本校语言文字工作规范化达标建设工作，并于6月28日（星期五）前报送自评自查报告和《学校语言文字工作指导标准自评表》（附件5）。</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上述材料电子稿发指定邮箱，纸质</w:t>
      </w:r>
      <w:proofErr w:type="gramStart"/>
      <w:r w:rsidRPr="006B5E38">
        <w:rPr>
          <w:rFonts w:ascii="微软雅黑" w:eastAsia="微软雅黑" w:hAnsi="微软雅黑" w:cs="宋体" w:hint="eastAsia"/>
          <w:color w:val="000000"/>
          <w:kern w:val="0"/>
          <w:szCs w:val="21"/>
        </w:rPr>
        <w:t>稿需加盖</w:t>
      </w:r>
      <w:proofErr w:type="gramEnd"/>
      <w:r w:rsidRPr="006B5E38">
        <w:rPr>
          <w:rFonts w:ascii="微软雅黑" w:eastAsia="微软雅黑" w:hAnsi="微软雅黑" w:cs="宋体" w:hint="eastAsia"/>
          <w:color w:val="000000"/>
          <w:kern w:val="0"/>
          <w:szCs w:val="21"/>
        </w:rPr>
        <w:t>单位印章。</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地址：东城区和平里七区16号610室。邮编：100013</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联系人：曹玉</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电话：84504910  传真：84504550</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邮箱：bjywxh2016@sina.com</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附件：</w:t>
      </w:r>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1.</w:t>
      </w:r>
      <w:hyperlink r:id="rId4" w:history="1">
        <w:r w:rsidRPr="006B5E38">
          <w:rPr>
            <w:rFonts w:ascii="微软雅黑" w:eastAsia="微软雅黑" w:hAnsi="微软雅黑" w:cs="宋体" w:hint="eastAsia"/>
            <w:color w:val="0000FF"/>
            <w:kern w:val="0"/>
            <w:szCs w:val="21"/>
            <w:u w:val="single"/>
          </w:rPr>
          <w:t>北京市幼儿园语言文字工作指导标准</w:t>
        </w:r>
      </w:hyperlink>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2.</w:t>
      </w:r>
      <w:hyperlink r:id="rId5" w:history="1">
        <w:r w:rsidRPr="006B5E38">
          <w:rPr>
            <w:rFonts w:ascii="微软雅黑" w:eastAsia="微软雅黑" w:hAnsi="微软雅黑" w:cs="宋体" w:hint="eastAsia"/>
            <w:color w:val="0000FF"/>
            <w:kern w:val="0"/>
            <w:szCs w:val="21"/>
            <w:u w:val="single"/>
          </w:rPr>
          <w:t>北京市中小学语言文字工作指导标准</w:t>
        </w:r>
      </w:hyperlink>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3.</w:t>
      </w:r>
      <w:hyperlink r:id="rId6" w:history="1">
        <w:r w:rsidRPr="006B5E38">
          <w:rPr>
            <w:rFonts w:ascii="微软雅黑" w:eastAsia="微软雅黑" w:hAnsi="微软雅黑" w:cs="宋体" w:hint="eastAsia"/>
            <w:color w:val="0000FF"/>
            <w:kern w:val="0"/>
            <w:szCs w:val="21"/>
            <w:u w:val="single"/>
          </w:rPr>
          <w:t>北京市高校语言文字工作指导标准</w:t>
        </w:r>
      </w:hyperlink>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4.</w:t>
      </w:r>
      <w:hyperlink r:id="rId7" w:history="1">
        <w:r w:rsidRPr="006B5E38">
          <w:rPr>
            <w:rFonts w:ascii="微软雅黑" w:eastAsia="微软雅黑" w:hAnsi="微软雅黑" w:cs="宋体" w:hint="eastAsia"/>
            <w:color w:val="0000FF"/>
            <w:kern w:val="0"/>
            <w:szCs w:val="21"/>
            <w:u w:val="single"/>
          </w:rPr>
          <w:t>北京市学校语言文字工作规范化达标建设统计表</w:t>
        </w:r>
      </w:hyperlink>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5.</w:t>
      </w:r>
      <w:hyperlink r:id="rId8" w:history="1">
        <w:r w:rsidRPr="006B5E38">
          <w:rPr>
            <w:rFonts w:ascii="微软雅黑" w:eastAsia="微软雅黑" w:hAnsi="微软雅黑" w:cs="宋体" w:hint="eastAsia"/>
            <w:color w:val="0000FF"/>
            <w:kern w:val="0"/>
            <w:szCs w:val="21"/>
            <w:u w:val="single"/>
          </w:rPr>
          <w:t>学校语言文字工作指导标准自评表（模板）</w:t>
        </w:r>
      </w:hyperlink>
    </w:p>
    <w:p w:rsidR="006B5E38" w:rsidRPr="006B5E38" w:rsidRDefault="006B5E38" w:rsidP="006B5E38">
      <w:pPr>
        <w:widowControl/>
        <w:spacing w:line="480" w:lineRule="auto"/>
        <w:jc w:val="left"/>
        <w:rPr>
          <w:rFonts w:ascii="微软雅黑" w:eastAsia="微软雅黑" w:hAnsi="微软雅黑" w:cs="宋体" w:hint="eastAsia"/>
          <w:color w:val="000000"/>
          <w:kern w:val="0"/>
          <w:szCs w:val="21"/>
        </w:rPr>
      </w:pPr>
      <w:r w:rsidRPr="006B5E38">
        <w:rPr>
          <w:rFonts w:ascii="微软雅黑" w:eastAsia="微软雅黑" w:hAnsi="微软雅黑" w:cs="宋体" w:hint="eastAsia"/>
          <w:color w:val="000000"/>
          <w:kern w:val="0"/>
          <w:szCs w:val="21"/>
        </w:rPr>
        <w:t xml:space="preserve">　　6.</w:t>
      </w:r>
      <w:hyperlink r:id="rId9" w:history="1">
        <w:r w:rsidRPr="006B5E38">
          <w:rPr>
            <w:rFonts w:ascii="微软雅黑" w:eastAsia="微软雅黑" w:hAnsi="微软雅黑" w:cs="宋体" w:hint="eastAsia"/>
            <w:color w:val="0000FF"/>
            <w:kern w:val="0"/>
            <w:szCs w:val="21"/>
            <w:u w:val="single"/>
          </w:rPr>
          <w:t>报送材料格式体例要求</w:t>
        </w:r>
      </w:hyperlink>
    </w:p>
    <w:p w:rsidR="00332A51" w:rsidRDefault="00332A51">
      <w:bookmarkStart w:id="0" w:name="_GoBack"/>
      <w:bookmarkEnd w:id="0"/>
    </w:p>
    <w:sectPr w:rsidR="00332A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38"/>
    <w:rsid w:val="00332A51"/>
    <w:rsid w:val="006B5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DE14F-500E-44B1-B836-6163A4B6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B5E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B5E38"/>
    <w:rPr>
      <w:rFonts w:ascii="宋体" w:eastAsia="宋体" w:hAnsi="宋体" w:cs="宋体"/>
      <w:b/>
      <w:bCs/>
      <w:kern w:val="36"/>
      <w:sz w:val="48"/>
      <w:szCs w:val="48"/>
    </w:rPr>
  </w:style>
  <w:style w:type="character" w:styleId="a3">
    <w:name w:val="Hyperlink"/>
    <w:basedOn w:val="a0"/>
    <w:uiPriority w:val="99"/>
    <w:semiHidden/>
    <w:unhideWhenUsed/>
    <w:rsid w:val="006B5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3110">
      <w:bodyDiv w:val="1"/>
      <w:marLeft w:val="0"/>
      <w:marRight w:val="0"/>
      <w:marTop w:val="0"/>
      <w:marBottom w:val="0"/>
      <w:divBdr>
        <w:top w:val="none" w:sz="0" w:space="0" w:color="auto"/>
        <w:left w:val="none" w:sz="0" w:space="0" w:color="auto"/>
        <w:bottom w:val="none" w:sz="0" w:space="0" w:color="auto"/>
        <w:right w:val="none" w:sz="0" w:space="0" w:color="auto"/>
      </w:divBdr>
      <w:divsChild>
        <w:div w:id="1235817388">
          <w:marLeft w:val="0"/>
          <w:marRight w:val="0"/>
          <w:marTop w:val="0"/>
          <w:marBottom w:val="0"/>
          <w:divBdr>
            <w:top w:val="none" w:sz="0" w:space="0" w:color="auto"/>
            <w:left w:val="none" w:sz="0" w:space="0" w:color="auto"/>
            <w:bottom w:val="none" w:sz="0" w:space="0" w:color="auto"/>
            <w:right w:val="none" w:sz="0" w:space="0" w:color="auto"/>
          </w:divBdr>
        </w:div>
        <w:div w:id="1132795185">
          <w:marLeft w:val="0"/>
          <w:marRight w:val="0"/>
          <w:marTop w:val="0"/>
          <w:marBottom w:val="0"/>
          <w:divBdr>
            <w:top w:val="none" w:sz="0" w:space="0" w:color="auto"/>
            <w:left w:val="none" w:sz="0" w:space="0" w:color="auto"/>
            <w:bottom w:val="none" w:sz="0" w:space="0" w:color="auto"/>
            <w:right w:val="none" w:sz="0" w:space="0" w:color="auto"/>
          </w:divBdr>
        </w:div>
        <w:div w:id="358316146">
          <w:marLeft w:val="0"/>
          <w:marRight w:val="0"/>
          <w:marTop w:val="225"/>
          <w:marBottom w:val="225"/>
          <w:divBdr>
            <w:top w:val="dashed" w:sz="6" w:space="8" w:color="A59F91"/>
            <w:left w:val="none" w:sz="0" w:space="0" w:color="auto"/>
            <w:bottom w:val="dashed" w:sz="6" w:space="8" w:color="A59F91"/>
            <w:right w:val="none" w:sz="0" w:space="0" w:color="auto"/>
          </w:divBdr>
        </w:div>
        <w:div w:id="1167667265">
          <w:marLeft w:val="0"/>
          <w:marRight w:val="0"/>
          <w:marTop w:val="0"/>
          <w:marBottom w:val="0"/>
          <w:divBdr>
            <w:top w:val="none" w:sz="0" w:space="0" w:color="auto"/>
            <w:left w:val="none" w:sz="0" w:space="0" w:color="auto"/>
            <w:bottom w:val="none" w:sz="0" w:space="0" w:color="auto"/>
            <w:right w:val="none" w:sz="0" w:space="0" w:color="auto"/>
          </w:divBdr>
          <w:divsChild>
            <w:div w:id="1434394584">
              <w:marLeft w:val="0"/>
              <w:marRight w:val="0"/>
              <w:marTop w:val="0"/>
              <w:marBottom w:val="0"/>
              <w:divBdr>
                <w:top w:val="none" w:sz="0" w:space="0" w:color="auto"/>
                <w:left w:val="none" w:sz="0" w:space="0" w:color="auto"/>
                <w:bottom w:val="none" w:sz="0" w:space="0" w:color="auto"/>
                <w:right w:val="none" w:sz="0" w:space="0" w:color="auto"/>
              </w:divBdr>
            </w:div>
            <w:div w:id="741030554">
              <w:marLeft w:val="0"/>
              <w:marRight w:val="0"/>
              <w:marTop w:val="0"/>
              <w:marBottom w:val="0"/>
              <w:divBdr>
                <w:top w:val="none" w:sz="0" w:space="0" w:color="auto"/>
                <w:left w:val="none" w:sz="0" w:space="0" w:color="auto"/>
                <w:bottom w:val="none" w:sz="0" w:space="0" w:color="auto"/>
                <w:right w:val="none" w:sz="0" w:space="0" w:color="auto"/>
              </w:divBdr>
            </w:div>
            <w:div w:id="1095513507">
              <w:marLeft w:val="0"/>
              <w:marRight w:val="0"/>
              <w:marTop w:val="0"/>
              <w:marBottom w:val="0"/>
              <w:divBdr>
                <w:top w:val="none" w:sz="0" w:space="0" w:color="auto"/>
                <w:left w:val="none" w:sz="0" w:space="0" w:color="auto"/>
                <w:bottom w:val="none" w:sz="0" w:space="0" w:color="auto"/>
                <w:right w:val="none" w:sz="0" w:space="0" w:color="auto"/>
              </w:divBdr>
            </w:div>
            <w:div w:id="1176075601">
              <w:marLeft w:val="0"/>
              <w:marRight w:val="0"/>
              <w:marTop w:val="0"/>
              <w:marBottom w:val="0"/>
              <w:divBdr>
                <w:top w:val="none" w:sz="0" w:space="0" w:color="auto"/>
                <w:left w:val="none" w:sz="0" w:space="0" w:color="auto"/>
                <w:bottom w:val="none" w:sz="0" w:space="0" w:color="auto"/>
                <w:right w:val="none" w:sz="0" w:space="0" w:color="auto"/>
              </w:divBdr>
            </w:div>
            <w:div w:id="744188107">
              <w:marLeft w:val="0"/>
              <w:marRight w:val="0"/>
              <w:marTop w:val="0"/>
              <w:marBottom w:val="0"/>
              <w:divBdr>
                <w:top w:val="none" w:sz="0" w:space="0" w:color="auto"/>
                <w:left w:val="none" w:sz="0" w:space="0" w:color="auto"/>
                <w:bottom w:val="none" w:sz="0" w:space="0" w:color="auto"/>
                <w:right w:val="none" w:sz="0" w:space="0" w:color="auto"/>
              </w:divBdr>
            </w:div>
            <w:div w:id="1720547151">
              <w:marLeft w:val="0"/>
              <w:marRight w:val="0"/>
              <w:marTop w:val="0"/>
              <w:marBottom w:val="0"/>
              <w:divBdr>
                <w:top w:val="none" w:sz="0" w:space="0" w:color="auto"/>
                <w:left w:val="none" w:sz="0" w:space="0" w:color="auto"/>
                <w:bottom w:val="none" w:sz="0" w:space="0" w:color="auto"/>
                <w:right w:val="none" w:sz="0" w:space="0" w:color="auto"/>
              </w:divBdr>
            </w:div>
            <w:div w:id="1030179586">
              <w:marLeft w:val="0"/>
              <w:marRight w:val="0"/>
              <w:marTop w:val="0"/>
              <w:marBottom w:val="0"/>
              <w:divBdr>
                <w:top w:val="none" w:sz="0" w:space="0" w:color="auto"/>
                <w:left w:val="none" w:sz="0" w:space="0" w:color="auto"/>
                <w:bottom w:val="none" w:sz="0" w:space="0" w:color="auto"/>
                <w:right w:val="none" w:sz="0" w:space="0" w:color="auto"/>
              </w:divBdr>
            </w:div>
            <w:div w:id="657467215">
              <w:marLeft w:val="0"/>
              <w:marRight w:val="0"/>
              <w:marTop w:val="0"/>
              <w:marBottom w:val="0"/>
              <w:divBdr>
                <w:top w:val="none" w:sz="0" w:space="0" w:color="auto"/>
                <w:left w:val="none" w:sz="0" w:space="0" w:color="auto"/>
                <w:bottom w:val="none" w:sz="0" w:space="0" w:color="auto"/>
                <w:right w:val="none" w:sz="0" w:space="0" w:color="auto"/>
              </w:divBdr>
            </w:div>
            <w:div w:id="68501926">
              <w:marLeft w:val="0"/>
              <w:marRight w:val="0"/>
              <w:marTop w:val="0"/>
              <w:marBottom w:val="0"/>
              <w:divBdr>
                <w:top w:val="none" w:sz="0" w:space="0" w:color="auto"/>
                <w:left w:val="none" w:sz="0" w:space="0" w:color="auto"/>
                <w:bottom w:val="none" w:sz="0" w:space="0" w:color="auto"/>
                <w:right w:val="none" w:sz="0" w:space="0" w:color="auto"/>
              </w:divBdr>
            </w:div>
            <w:div w:id="128524823">
              <w:marLeft w:val="0"/>
              <w:marRight w:val="0"/>
              <w:marTop w:val="0"/>
              <w:marBottom w:val="0"/>
              <w:divBdr>
                <w:top w:val="none" w:sz="0" w:space="0" w:color="auto"/>
                <w:left w:val="none" w:sz="0" w:space="0" w:color="auto"/>
                <w:bottom w:val="none" w:sz="0" w:space="0" w:color="auto"/>
                <w:right w:val="none" w:sz="0" w:space="0" w:color="auto"/>
              </w:divBdr>
            </w:div>
            <w:div w:id="1292832668">
              <w:marLeft w:val="0"/>
              <w:marRight w:val="0"/>
              <w:marTop w:val="0"/>
              <w:marBottom w:val="0"/>
              <w:divBdr>
                <w:top w:val="none" w:sz="0" w:space="0" w:color="auto"/>
                <w:left w:val="none" w:sz="0" w:space="0" w:color="auto"/>
                <w:bottom w:val="none" w:sz="0" w:space="0" w:color="auto"/>
                <w:right w:val="none" w:sz="0" w:space="0" w:color="auto"/>
              </w:divBdr>
            </w:div>
            <w:div w:id="1292515972">
              <w:marLeft w:val="0"/>
              <w:marRight w:val="0"/>
              <w:marTop w:val="0"/>
              <w:marBottom w:val="0"/>
              <w:divBdr>
                <w:top w:val="none" w:sz="0" w:space="0" w:color="auto"/>
                <w:left w:val="none" w:sz="0" w:space="0" w:color="auto"/>
                <w:bottom w:val="none" w:sz="0" w:space="0" w:color="auto"/>
                <w:right w:val="none" w:sz="0" w:space="0" w:color="auto"/>
              </w:divBdr>
            </w:div>
            <w:div w:id="2122796680">
              <w:marLeft w:val="0"/>
              <w:marRight w:val="0"/>
              <w:marTop w:val="0"/>
              <w:marBottom w:val="0"/>
              <w:divBdr>
                <w:top w:val="none" w:sz="0" w:space="0" w:color="auto"/>
                <w:left w:val="none" w:sz="0" w:space="0" w:color="auto"/>
                <w:bottom w:val="none" w:sz="0" w:space="0" w:color="auto"/>
                <w:right w:val="none" w:sz="0" w:space="0" w:color="auto"/>
              </w:divBdr>
            </w:div>
            <w:div w:id="1539123352">
              <w:marLeft w:val="0"/>
              <w:marRight w:val="0"/>
              <w:marTop w:val="0"/>
              <w:marBottom w:val="0"/>
              <w:divBdr>
                <w:top w:val="none" w:sz="0" w:space="0" w:color="auto"/>
                <w:left w:val="none" w:sz="0" w:space="0" w:color="auto"/>
                <w:bottom w:val="none" w:sz="0" w:space="0" w:color="auto"/>
                <w:right w:val="none" w:sz="0" w:space="0" w:color="auto"/>
              </w:divBdr>
            </w:div>
            <w:div w:id="1894583498">
              <w:marLeft w:val="0"/>
              <w:marRight w:val="0"/>
              <w:marTop w:val="0"/>
              <w:marBottom w:val="0"/>
              <w:divBdr>
                <w:top w:val="none" w:sz="0" w:space="0" w:color="auto"/>
                <w:left w:val="none" w:sz="0" w:space="0" w:color="auto"/>
                <w:bottom w:val="none" w:sz="0" w:space="0" w:color="auto"/>
                <w:right w:val="none" w:sz="0" w:space="0" w:color="auto"/>
              </w:divBdr>
            </w:div>
            <w:div w:id="1009722297">
              <w:marLeft w:val="0"/>
              <w:marRight w:val="0"/>
              <w:marTop w:val="0"/>
              <w:marBottom w:val="0"/>
              <w:divBdr>
                <w:top w:val="none" w:sz="0" w:space="0" w:color="auto"/>
                <w:left w:val="none" w:sz="0" w:space="0" w:color="auto"/>
                <w:bottom w:val="none" w:sz="0" w:space="0" w:color="auto"/>
                <w:right w:val="none" w:sz="0" w:space="0" w:color="auto"/>
              </w:divBdr>
            </w:div>
            <w:div w:id="89203787">
              <w:marLeft w:val="0"/>
              <w:marRight w:val="0"/>
              <w:marTop w:val="0"/>
              <w:marBottom w:val="0"/>
              <w:divBdr>
                <w:top w:val="none" w:sz="0" w:space="0" w:color="auto"/>
                <w:left w:val="none" w:sz="0" w:space="0" w:color="auto"/>
                <w:bottom w:val="none" w:sz="0" w:space="0" w:color="auto"/>
                <w:right w:val="none" w:sz="0" w:space="0" w:color="auto"/>
              </w:divBdr>
            </w:div>
            <w:div w:id="1601379443">
              <w:marLeft w:val="0"/>
              <w:marRight w:val="0"/>
              <w:marTop w:val="0"/>
              <w:marBottom w:val="0"/>
              <w:divBdr>
                <w:top w:val="none" w:sz="0" w:space="0" w:color="auto"/>
                <w:left w:val="none" w:sz="0" w:space="0" w:color="auto"/>
                <w:bottom w:val="none" w:sz="0" w:space="0" w:color="auto"/>
                <w:right w:val="none" w:sz="0" w:space="0" w:color="auto"/>
              </w:divBdr>
            </w:div>
            <w:div w:id="2139637555">
              <w:marLeft w:val="0"/>
              <w:marRight w:val="0"/>
              <w:marTop w:val="0"/>
              <w:marBottom w:val="0"/>
              <w:divBdr>
                <w:top w:val="none" w:sz="0" w:space="0" w:color="auto"/>
                <w:left w:val="none" w:sz="0" w:space="0" w:color="auto"/>
                <w:bottom w:val="none" w:sz="0" w:space="0" w:color="auto"/>
                <w:right w:val="none" w:sz="0" w:space="0" w:color="auto"/>
              </w:divBdr>
            </w:div>
            <w:div w:id="58330814">
              <w:marLeft w:val="0"/>
              <w:marRight w:val="0"/>
              <w:marTop w:val="0"/>
              <w:marBottom w:val="0"/>
              <w:divBdr>
                <w:top w:val="none" w:sz="0" w:space="0" w:color="auto"/>
                <w:left w:val="none" w:sz="0" w:space="0" w:color="auto"/>
                <w:bottom w:val="none" w:sz="0" w:space="0" w:color="auto"/>
                <w:right w:val="none" w:sz="0" w:space="0" w:color="auto"/>
              </w:divBdr>
            </w:div>
            <w:div w:id="420031830">
              <w:marLeft w:val="0"/>
              <w:marRight w:val="0"/>
              <w:marTop w:val="0"/>
              <w:marBottom w:val="0"/>
              <w:divBdr>
                <w:top w:val="none" w:sz="0" w:space="0" w:color="auto"/>
                <w:left w:val="none" w:sz="0" w:space="0" w:color="auto"/>
                <w:bottom w:val="none" w:sz="0" w:space="0" w:color="auto"/>
                <w:right w:val="none" w:sz="0" w:space="0" w:color="auto"/>
              </w:divBdr>
            </w:div>
            <w:div w:id="1164664755">
              <w:marLeft w:val="0"/>
              <w:marRight w:val="0"/>
              <w:marTop w:val="0"/>
              <w:marBottom w:val="0"/>
              <w:divBdr>
                <w:top w:val="none" w:sz="0" w:space="0" w:color="auto"/>
                <w:left w:val="none" w:sz="0" w:space="0" w:color="auto"/>
                <w:bottom w:val="none" w:sz="0" w:space="0" w:color="auto"/>
                <w:right w:val="none" w:sz="0" w:space="0" w:color="auto"/>
              </w:divBdr>
            </w:div>
            <w:div w:id="2117676984">
              <w:marLeft w:val="0"/>
              <w:marRight w:val="0"/>
              <w:marTop w:val="0"/>
              <w:marBottom w:val="0"/>
              <w:divBdr>
                <w:top w:val="none" w:sz="0" w:space="0" w:color="auto"/>
                <w:left w:val="none" w:sz="0" w:space="0" w:color="auto"/>
                <w:bottom w:val="none" w:sz="0" w:space="0" w:color="auto"/>
                <w:right w:val="none" w:sz="0" w:space="0" w:color="auto"/>
              </w:divBdr>
            </w:div>
            <w:div w:id="979962937">
              <w:marLeft w:val="0"/>
              <w:marRight w:val="0"/>
              <w:marTop w:val="0"/>
              <w:marBottom w:val="0"/>
              <w:divBdr>
                <w:top w:val="none" w:sz="0" w:space="0" w:color="auto"/>
                <w:left w:val="none" w:sz="0" w:space="0" w:color="auto"/>
                <w:bottom w:val="none" w:sz="0" w:space="0" w:color="auto"/>
                <w:right w:val="none" w:sz="0" w:space="0" w:color="auto"/>
              </w:divBdr>
            </w:div>
            <w:div w:id="1655143045">
              <w:marLeft w:val="0"/>
              <w:marRight w:val="0"/>
              <w:marTop w:val="0"/>
              <w:marBottom w:val="0"/>
              <w:divBdr>
                <w:top w:val="none" w:sz="0" w:space="0" w:color="auto"/>
                <w:left w:val="none" w:sz="0" w:space="0" w:color="auto"/>
                <w:bottom w:val="none" w:sz="0" w:space="0" w:color="auto"/>
                <w:right w:val="none" w:sz="0" w:space="0" w:color="auto"/>
              </w:divBdr>
            </w:div>
            <w:div w:id="1943487186">
              <w:marLeft w:val="0"/>
              <w:marRight w:val="0"/>
              <w:marTop w:val="0"/>
              <w:marBottom w:val="0"/>
              <w:divBdr>
                <w:top w:val="none" w:sz="0" w:space="0" w:color="auto"/>
                <w:left w:val="none" w:sz="0" w:space="0" w:color="auto"/>
                <w:bottom w:val="none" w:sz="0" w:space="0" w:color="auto"/>
                <w:right w:val="none" w:sz="0" w:space="0" w:color="auto"/>
              </w:divBdr>
            </w:div>
            <w:div w:id="174266416">
              <w:marLeft w:val="0"/>
              <w:marRight w:val="0"/>
              <w:marTop w:val="0"/>
              <w:marBottom w:val="0"/>
              <w:divBdr>
                <w:top w:val="none" w:sz="0" w:space="0" w:color="auto"/>
                <w:left w:val="none" w:sz="0" w:space="0" w:color="auto"/>
                <w:bottom w:val="none" w:sz="0" w:space="0" w:color="auto"/>
                <w:right w:val="none" w:sz="0" w:space="0" w:color="auto"/>
              </w:divBdr>
            </w:div>
            <w:div w:id="2050714146">
              <w:marLeft w:val="0"/>
              <w:marRight w:val="0"/>
              <w:marTop w:val="0"/>
              <w:marBottom w:val="0"/>
              <w:divBdr>
                <w:top w:val="none" w:sz="0" w:space="0" w:color="auto"/>
                <w:left w:val="none" w:sz="0" w:space="0" w:color="auto"/>
                <w:bottom w:val="none" w:sz="0" w:space="0" w:color="auto"/>
                <w:right w:val="none" w:sz="0" w:space="0" w:color="auto"/>
              </w:divBdr>
            </w:div>
            <w:div w:id="1303077950">
              <w:marLeft w:val="0"/>
              <w:marRight w:val="0"/>
              <w:marTop w:val="0"/>
              <w:marBottom w:val="0"/>
              <w:divBdr>
                <w:top w:val="none" w:sz="0" w:space="0" w:color="auto"/>
                <w:left w:val="none" w:sz="0" w:space="0" w:color="auto"/>
                <w:bottom w:val="none" w:sz="0" w:space="0" w:color="auto"/>
                <w:right w:val="none" w:sz="0" w:space="0" w:color="auto"/>
              </w:divBdr>
            </w:div>
            <w:div w:id="13309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beijing.gov.cn/language/ywzw/ywwj/201904/W020190402416913687003.doc" TargetMode="External"/><Relationship Id="rId3" Type="http://schemas.openxmlformats.org/officeDocument/2006/relationships/webSettings" Target="webSettings.xml"/><Relationship Id="rId7" Type="http://schemas.openxmlformats.org/officeDocument/2006/relationships/hyperlink" Target="http://jw.beijing.gov.cn/language/ywzw/ywwj/201904/W02019040241691364541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w.beijing.gov.cn/language/ywzw/ywwj/201904/W020190402416913615192.doc" TargetMode="External"/><Relationship Id="rId11" Type="http://schemas.openxmlformats.org/officeDocument/2006/relationships/theme" Target="theme/theme1.xml"/><Relationship Id="rId5" Type="http://schemas.openxmlformats.org/officeDocument/2006/relationships/hyperlink" Target="http://jw.beijing.gov.cn/language/ywzw/ywwj/201904/W020190402416913584348.doc" TargetMode="External"/><Relationship Id="rId10" Type="http://schemas.openxmlformats.org/officeDocument/2006/relationships/fontTable" Target="fontTable.xml"/><Relationship Id="rId4" Type="http://schemas.openxmlformats.org/officeDocument/2006/relationships/hyperlink" Target="http://jw.beijing.gov.cn/language/ywzw/ywwj/201904/W020190402416913532783.doc" TargetMode="External"/><Relationship Id="rId9" Type="http://schemas.openxmlformats.org/officeDocument/2006/relationships/hyperlink" Target="http://jw.beijing.gov.cn/language/ywzw/ywwj/201904/W02019040241691371136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2019-07-17T00:20:00Z</dcterms:created>
  <dcterms:modified xsi:type="dcterms:W3CDTF">2019-07-17T00:22:00Z</dcterms:modified>
</cp:coreProperties>
</file>